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 Р И К А 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и вводе в действие программ обучения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статей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219 </w:t>
      </w:r>
      <w:r>
        <w:rPr>
          <w:rFonts w:hAnsi="Times New Roman" w:cs="Times New Roman"/>
          <w:color w:val="000000"/>
          <w:sz w:val="24"/>
          <w:szCs w:val="24"/>
        </w:rPr>
        <w:t>Трудового кодекса и Правил обучения по охране труда и проверки знания требований охраны труда, утвержденных 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ПРИКАЗЫВАЮ: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и ввести в действие программы обучения по охране труда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Общество), указанные в приложении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Настоящий приказ вступает в силу со дня его подписания директором Общества.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Приложение 1. Перечень программ обучения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Директор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/ Т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 ОБУЧЕНИЯ ПО ОХРАНЕ ТРУДА ДЛЯ РАБОТНИКОВ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634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программы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</w:t>
            </w:r>
          </w:p>
        </w:tc>
      </w:tr>
      <w:tr>
        <w:trPr>
          <w:trHeight w:val="544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 работники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ознакомления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Личная подпись работника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dfb56e62bea47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